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3C66BD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3C66BD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12715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3C66B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048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bookmarkStart w:id="0" w:name="_GoBack"/>
            <w:bookmarkEnd w:id="0"/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51AB271" wp14:editId="5C3C69F9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3C66BD">
        <w:rPr>
          <w:rFonts w:ascii="Times New Roman" w:hAnsi="Times New Roman" w:cs="Times New Roman"/>
          <w:b/>
        </w:rPr>
        <w:t>Kasım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3C66BD">
        <w:rPr>
          <w:rFonts w:ascii="Times New Roman" w:hAnsi="Times New Roman" w:cs="Times New Roman"/>
          <w:b/>
        </w:rPr>
        <w:t>Şubat</w:t>
      </w:r>
      <w:r w:rsidR="003F6B23">
        <w:rPr>
          <w:rFonts w:ascii="Times New Roman" w:hAnsi="Times New Roman" w:cs="Times New Roman"/>
          <w:b/>
        </w:rPr>
        <w:t xml:space="preserve"> 2018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670F81" w:rsidP="00E42BBF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3C66BD">
        <w:rPr>
          <w:rFonts w:ascii="Times New Roman" w:hAnsi="Times New Roman" w:cs="Times New Roman"/>
        </w:rPr>
        <w:t>Kasım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440</w:t>
      </w:r>
      <w:r w:rsidR="00F9792D">
        <w:rPr>
          <w:rFonts w:ascii="Times New Roman" w:hAnsi="Times New Roman" w:cs="Times New Roman"/>
        </w:rPr>
        <w:t xml:space="preserve"> bin kişi </w:t>
      </w:r>
      <w:r w:rsidR="003C66BD">
        <w:rPr>
          <w:rFonts w:ascii="Times New Roman" w:hAnsi="Times New Roman" w:cs="Times New Roman"/>
        </w:rPr>
        <w:t>azalarak 3 milyon 2</w:t>
      </w:r>
      <w:r w:rsidR="003F6B23">
        <w:rPr>
          <w:rFonts w:ascii="Times New Roman" w:hAnsi="Times New Roman" w:cs="Times New Roman"/>
        </w:rPr>
        <w:t>7</w:t>
      </w:r>
      <w:r w:rsidR="003C66BD">
        <w:rPr>
          <w:rFonts w:ascii="Times New Roman" w:hAnsi="Times New Roman" w:cs="Times New Roman"/>
        </w:rPr>
        <w:t>5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12715C" w:rsidRPr="00760EBE">
        <w:rPr>
          <w:rFonts w:ascii="Times New Roman" w:hAnsi="Times New Roman" w:cs="Times New Roman"/>
        </w:rPr>
        <w:t xml:space="preserve"> </w:t>
      </w:r>
      <w:r w:rsidR="003C66BD">
        <w:rPr>
          <w:rFonts w:ascii="Times New Roman" w:hAnsi="Times New Roman" w:cs="Times New Roman"/>
        </w:rPr>
        <w:t>1,8</w:t>
      </w:r>
      <w:r w:rsidR="00E95D95">
        <w:rPr>
          <w:rFonts w:ascii="Times New Roman" w:hAnsi="Times New Roman" w:cs="Times New Roman"/>
        </w:rPr>
        <w:t xml:space="preserve"> puan,</w:t>
      </w:r>
      <w:r w:rsidR="003F6B23">
        <w:rPr>
          <w:rFonts w:ascii="Times New Roman" w:hAnsi="Times New Roman" w:cs="Times New Roman"/>
        </w:rPr>
        <w:t xml:space="preserve"> tarım dışı işsizlik oranı ise </w:t>
      </w:r>
      <w:r w:rsidR="003C66BD">
        <w:rPr>
          <w:rFonts w:ascii="Times New Roman" w:hAnsi="Times New Roman" w:cs="Times New Roman"/>
        </w:rPr>
        <w:t>2,1</w:t>
      </w:r>
      <w:r w:rsidR="00E95D95">
        <w:rPr>
          <w:rFonts w:ascii="Times New Roman" w:hAnsi="Times New Roman" w:cs="Times New Roman"/>
        </w:rPr>
        <w:t xml:space="preserve"> pu</w:t>
      </w:r>
      <w:r w:rsidR="003F6B23">
        <w:rPr>
          <w:rFonts w:ascii="Times New Roman" w:hAnsi="Times New Roman" w:cs="Times New Roman"/>
        </w:rPr>
        <w:t>an azalarak sı</w:t>
      </w:r>
      <w:r w:rsidR="003C66BD">
        <w:rPr>
          <w:rFonts w:ascii="Times New Roman" w:hAnsi="Times New Roman" w:cs="Times New Roman"/>
        </w:rPr>
        <w:t>rasıyla yüzde 10,3 ve yüzde 12,2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3C66BD">
        <w:rPr>
          <w:rFonts w:ascii="Times New Roman" w:hAnsi="Times New Roman" w:cs="Times New Roman"/>
        </w:rPr>
        <w:t>3,3</w:t>
      </w:r>
      <w:r w:rsidR="003F6B23">
        <w:rPr>
          <w:rFonts w:ascii="Times New Roman" w:hAnsi="Times New Roman" w:cs="Times New Roman"/>
        </w:rPr>
        <w:t xml:space="preserve"> puan azalarak yüzde 19,3’</w:t>
      </w:r>
      <w:r w:rsidR="003D39A5">
        <w:rPr>
          <w:rFonts w:ascii="Times New Roman" w:hAnsi="Times New Roman" w:cs="Times New Roman"/>
        </w:rPr>
        <w:t>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3F6B23">
        <w:rPr>
          <w:rFonts w:ascii="Times New Roman" w:hAnsi="Times New Roman" w:cs="Times New Roman"/>
        </w:rPr>
        <w:t>gerile</w:t>
      </w:r>
      <w:r w:rsidR="00C97EF7" w:rsidRPr="00760EBE">
        <w:rPr>
          <w:rFonts w:ascii="Times New Roman" w:hAnsi="Times New Roman" w:cs="Times New Roman"/>
        </w:rPr>
        <w:t>di</w:t>
      </w:r>
      <w:r w:rsidR="00C67B1D" w:rsidRPr="00760EBE">
        <w:rPr>
          <w:rFonts w:ascii="Times New Roman" w:hAnsi="Times New Roman" w:cs="Times New Roman"/>
        </w:rPr>
        <w:t>.</w:t>
      </w:r>
    </w:p>
    <w:p w:rsidR="00E42BBF" w:rsidRPr="00E42BBF" w:rsidRDefault="00E42BBF" w:rsidP="00E42BBF"/>
    <w:p w:rsidR="00B957A3" w:rsidRDefault="003C66BD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Kasım</w:t>
      </w:r>
      <w:r w:rsidR="00236A4A">
        <w:rPr>
          <w:rFonts w:ascii="Times New Roman" w:hAnsi="Times New Roman" w:cs="Times New Roman"/>
        </w:rPr>
        <w:t xml:space="preserve">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E433A7">
        <w:rPr>
          <w:rFonts w:ascii="Times New Roman" w:hAnsi="Times New Roman" w:cs="Times New Roman"/>
        </w:rPr>
        <w:t xml:space="preserve">1 milyon </w:t>
      </w:r>
      <w:r>
        <w:rPr>
          <w:rFonts w:ascii="Times New Roman" w:hAnsi="Times New Roman" w:cs="Times New Roman"/>
        </w:rPr>
        <w:t>44</w:t>
      </w:r>
      <w:r w:rsidR="003F6B23">
        <w:rPr>
          <w:rFonts w:ascii="Times New Roman" w:hAnsi="Times New Roman" w:cs="Times New Roman"/>
        </w:rPr>
        <w:t>8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515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3C66BD">
        <w:rPr>
          <w:rFonts w:ascii="Times New Roman" w:hAnsi="Times New Roman" w:cs="Times New Roman"/>
          <w:b/>
          <w:szCs w:val="18"/>
        </w:rPr>
        <w:t>Kasım 2016- Kasım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  <w:r w:rsidR="00C97197">
        <w:rPr>
          <w:noProof/>
        </w:rPr>
        <w:drawing>
          <wp:inline distT="0" distB="0" distL="0" distR="0" wp14:anchorId="29427D1B" wp14:editId="2C8578DD">
            <wp:extent cx="6038850" cy="24003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B15E53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Kasım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23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 w:rsidR="0059622D">
        <w:rPr>
          <w:rFonts w:ascii="Times New Roman" w:hAnsi="Times New Roman" w:cs="Times New Roman"/>
          <w:szCs w:val="18"/>
        </w:rPr>
        <w:t>a</w:t>
      </w:r>
      <w:r w:rsidR="00686A55">
        <w:rPr>
          <w:rFonts w:ascii="Times New Roman" w:hAnsi="Times New Roman" w:cs="Times New Roman"/>
          <w:szCs w:val="18"/>
        </w:rPr>
        <w:t>rtara</w:t>
      </w:r>
      <w:r w:rsidR="002A5E4E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686A55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59622D">
        <w:rPr>
          <w:rFonts w:ascii="Times New Roman" w:hAnsi="Times New Roman" w:cs="Times New Roman"/>
          <w:szCs w:val="18"/>
        </w:rPr>
        <w:t>8</w:t>
      </w:r>
      <w:r w:rsidR="00145C0B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3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145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E42AC8">
        <w:rPr>
          <w:rFonts w:ascii="Times New Roman" w:hAnsi="Times New Roman" w:cs="Times New Roman"/>
          <w:szCs w:val="18"/>
        </w:rPr>
        <w:t>rtarak</w:t>
      </w:r>
      <w:r w:rsidR="00145C0B">
        <w:rPr>
          <w:rFonts w:ascii="Times New Roman" w:hAnsi="Times New Roman" w:cs="Times New Roman"/>
          <w:szCs w:val="18"/>
        </w:rPr>
        <w:t xml:space="preserve"> 28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4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 w:rsidR="00E42AC8">
        <w:rPr>
          <w:rFonts w:ascii="Times New Roman" w:hAnsi="Times New Roman" w:cs="Times New Roman"/>
          <w:szCs w:val="18"/>
        </w:rPr>
        <w:t>yükseldi.</w:t>
      </w:r>
      <w:r w:rsidR="00F12E5E">
        <w:rPr>
          <w:rFonts w:ascii="Times New Roman" w:hAnsi="Times New Roman" w:cs="Times New Roman"/>
          <w:szCs w:val="18"/>
        </w:rPr>
        <w:t xml:space="preserve">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5,3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45C0B">
        <w:rPr>
          <w:rFonts w:ascii="Times New Roman" w:hAnsi="Times New Roman" w:cs="Times New Roman"/>
          <w:szCs w:val="18"/>
        </w:rPr>
        <w:t>23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2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B15E5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Kasım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  <w:r w:rsidR="004B6587">
        <w:rPr>
          <w:noProof/>
        </w:rPr>
        <w:drawing>
          <wp:inline distT="0" distB="0" distL="0" distR="0" wp14:anchorId="5F114F46" wp14:editId="7A859F64">
            <wp:extent cx="6076950" cy="233362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054B5D">
        <w:rPr>
          <w:rFonts w:ascii="Times New Roman" w:hAnsi="Times New Roman" w:cs="Times New Roman"/>
          <w:sz w:val="24"/>
        </w:rPr>
        <w:t>,1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054B5D">
        <w:rPr>
          <w:rFonts w:ascii="Times New Roman" w:hAnsi="Times New Roman" w:cs="Times New Roman"/>
          <w:sz w:val="24"/>
        </w:rPr>
        <w:t>la yüzde 3</w:t>
      </w:r>
      <w:r w:rsidR="00B05178">
        <w:rPr>
          <w:rFonts w:ascii="Times New Roman" w:hAnsi="Times New Roman" w:cs="Times New Roman"/>
          <w:sz w:val="24"/>
        </w:rPr>
        <w:t>3,8</w:t>
      </w:r>
      <w:r>
        <w:rPr>
          <w:rFonts w:ascii="Times New Roman" w:hAnsi="Times New Roman" w:cs="Times New Roman"/>
          <w:sz w:val="24"/>
        </w:rPr>
        <w:t>’</w:t>
      </w:r>
      <w:r w:rsidR="006577F3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B05178">
        <w:rPr>
          <w:rFonts w:ascii="Times New Roman" w:hAnsi="Times New Roman" w:cs="Times New Roman"/>
          <w:sz w:val="24"/>
        </w:rPr>
        <w:t>0,2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B05178">
        <w:rPr>
          <w:rFonts w:ascii="Times New Roman" w:hAnsi="Times New Roman" w:cs="Times New Roman"/>
          <w:sz w:val="24"/>
        </w:rPr>
        <w:t>2,1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B05178">
        <w:rPr>
          <w:rFonts w:ascii="Times New Roman" w:hAnsi="Times New Roman" w:cs="Times New Roman"/>
          <w:sz w:val="24"/>
        </w:rPr>
        <w:t>Kasım’da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B05178">
        <w:rPr>
          <w:rFonts w:ascii="Times New Roman" w:hAnsi="Times New Roman" w:cs="Times New Roman"/>
          <w:sz w:val="24"/>
        </w:rPr>
        <w:t>şgücüne katılım oranı yüzde 52,8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B05178">
        <w:rPr>
          <w:rFonts w:ascii="Times New Roman" w:hAnsi="Times New Roman" w:cs="Times New Roman"/>
        </w:rPr>
        <w:t>30</w:t>
      </w:r>
      <w:r w:rsidR="00245751">
        <w:rPr>
          <w:rFonts w:ascii="Times New Roman" w:hAnsi="Times New Roman" w:cs="Times New Roman"/>
        </w:rPr>
        <w:t xml:space="preserve"> bin kişi </w:t>
      </w:r>
      <w:r w:rsidR="00054B5D">
        <w:rPr>
          <w:rFonts w:ascii="Times New Roman" w:hAnsi="Times New Roman" w:cs="Times New Roman"/>
        </w:rPr>
        <w:t>azalarak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B05178">
        <w:rPr>
          <w:rFonts w:ascii="Times New Roman" w:hAnsi="Times New Roman" w:cs="Times New Roman"/>
        </w:rPr>
        <w:t>2</w:t>
      </w:r>
      <w:r w:rsidR="00054B5D">
        <w:rPr>
          <w:rFonts w:ascii="Times New Roman" w:hAnsi="Times New Roman" w:cs="Times New Roman"/>
        </w:rPr>
        <w:t>4</w:t>
      </w:r>
      <w:r w:rsidR="00B05178"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462BDA">
        <w:rPr>
          <w:rFonts w:ascii="Times New Roman" w:hAnsi="Times New Roman" w:cs="Times New Roman"/>
        </w:rPr>
        <w:t>geriledi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054B5D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054B5D">
        <w:rPr>
          <w:rFonts w:ascii="Times New Roman" w:hAnsi="Times New Roman" w:cs="Times New Roman"/>
        </w:rPr>
        <w:t>3; kadınlarda yüzde 1</w:t>
      </w:r>
      <w:r w:rsidR="00B05178">
        <w:rPr>
          <w:rFonts w:ascii="Times New Roman" w:hAnsi="Times New Roman" w:cs="Times New Roman"/>
        </w:rPr>
        <w:t>3,</w:t>
      </w:r>
      <w:r w:rsidR="00054B5D">
        <w:rPr>
          <w:rFonts w:ascii="Times New Roman" w:hAnsi="Times New Roman" w:cs="Times New Roman"/>
        </w:rPr>
        <w:t>4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B05178">
        <w:rPr>
          <w:rFonts w:ascii="Times New Roman" w:hAnsi="Times New Roman" w:cs="Times New Roman"/>
        </w:rPr>
        <w:t>8,8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4B658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Kasım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  <w:r w:rsidR="004B6587">
        <w:rPr>
          <w:noProof/>
        </w:rPr>
        <w:drawing>
          <wp:inline distT="0" distB="0" distL="0" distR="0" wp14:anchorId="77C62595" wp14:editId="23624A07">
            <wp:extent cx="6029325" cy="249555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19" w:rsidRDefault="00973D19" w:rsidP="00C04441">
      <w:pPr>
        <w:spacing w:after="0" w:line="240" w:lineRule="auto"/>
      </w:pPr>
      <w:r>
        <w:separator/>
      </w:r>
    </w:p>
  </w:endnote>
  <w:endnote w:type="continuationSeparator" w:id="0">
    <w:p w:rsidR="00973D19" w:rsidRDefault="00973D1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19" w:rsidRDefault="00973D19" w:rsidP="00C04441">
      <w:pPr>
        <w:spacing w:after="0" w:line="240" w:lineRule="auto"/>
      </w:pPr>
      <w:r>
        <w:separator/>
      </w:r>
    </w:p>
  </w:footnote>
  <w:footnote w:type="continuationSeparator" w:id="0">
    <w:p w:rsidR="00973D19" w:rsidRDefault="00973D19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54B5D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6BD"/>
    <w:rsid w:val="003C6747"/>
    <w:rsid w:val="003D39A5"/>
    <w:rsid w:val="003E0504"/>
    <w:rsid w:val="003E5AD8"/>
    <w:rsid w:val="003F6B23"/>
    <w:rsid w:val="00402F84"/>
    <w:rsid w:val="00412D10"/>
    <w:rsid w:val="00424CC0"/>
    <w:rsid w:val="00432DF5"/>
    <w:rsid w:val="00452794"/>
    <w:rsid w:val="00461AA0"/>
    <w:rsid w:val="00462BDA"/>
    <w:rsid w:val="00471191"/>
    <w:rsid w:val="0048395E"/>
    <w:rsid w:val="00496F35"/>
    <w:rsid w:val="004B6587"/>
    <w:rsid w:val="0050484D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86A55"/>
    <w:rsid w:val="006B2D78"/>
    <w:rsid w:val="006D41B5"/>
    <w:rsid w:val="0070186C"/>
    <w:rsid w:val="00731B2B"/>
    <w:rsid w:val="007330A1"/>
    <w:rsid w:val="00734FA5"/>
    <w:rsid w:val="007441EB"/>
    <w:rsid w:val="00760EBE"/>
    <w:rsid w:val="00767044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820C9"/>
    <w:rsid w:val="00890079"/>
    <w:rsid w:val="008A0BE9"/>
    <w:rsid w:val="008A575D"/>
    <w:rsid w:val="008B5FD9"/>
    <w:rsid w:val="008B6C94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23FD3"/>
    <w:rsid w:val="0092414A"/>
    <w:rsid w:val="00935B34"/>
    <w:rsid w:val="00965AE0"/>
    <w:rsid w:val="00973D19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53BE3"/>
    <w:rsid w:val="00B62061"/>
    <w:rsid w:val="00B71707"/>
    <w:rsid w:val="00B957A3"/>
    <w:rsid w:val="00B97F9C"/>
    <w:rsid w:val="00BA5C1B"/>
    <w:rsid w:val="00BB1743"/>
    <w:rsid w:val="00BC294E"/>
    <w:rsid w:val="00BC318C"/>
    <w:rsid w:val="00BC5F10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7197"/>
    <w:rsid w:val="00C97EF7"/>
    <w:rsid w:val="00CA6DFE"/>
    <w:rsid w:val="00CC7D5F"/>
    <w:rsid w:val="00CD44AA"/>
    <w:rsid w:val="00CD4A2C"/>
    <w:rsid w:val="00D20A2B"/>
    <w:rsid w:val="00D2299D"/>
    <w:rsid w:val="00D23355"/>
    <w:rsid w:val="00D25C4D"/>
    <w:rsid w:val="00D605AD"/>
    <w:rsid w:val="00D93669"/>
    <w:rsid w:val="00DB1389"/>
    <w:rsid w:val="00DC5FDC"/>
    <w:rsid w:val="00DE7934"/>
    <w:rsid w:val="00E42AC8"/>
    <w:rsid w:val="00E42BBF"/>
    <w:rsid w:val="00E433A7"/>
    <w:rsid w:val="00E57799"/>
    <w:rsid w:val="00E619A9"/>
    <w:rsid w:val="00E66EA9"/>
    <w:rsid w:val="00E92F7C"/>
    <w:rsid w:val="00E95D95"/>
    <w:rsid w:val="00EA6001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218\HH_Analiz_Kas&#305;m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Sayfa4!$M$9</c:f>
              <c:strCache>
                <c:ptCount val="1"/>
                <c:pt idx="0">
                  <c:v>İşgücü</c:v>
                </c:pt>
              </c:strCache>
            </c:strRef>
          </c:tx>
          <c:spPr>
            <a:ln w="508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Sayfa4!$L$10:$L$22</c:f>
              <c:numCache>
                <c:formatCode>mmm\-yy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Sayfa4!$M$10:$M$22</c:f>
              <c:numCache>
                <c:formatCode>0.0</c:formatCode>
                <c:ptCount val="13"/>
                <c:pt idx="0">
                  <c:v>30.780999999999999</c:v>
                </c:pt>
                <c:pt idx="1">
                  <c:v>30.54</c:v>
                </c:pt>
                <c:pt idx="2">
                  <c:v>30.658000000000001</c:v>
                </c:pt>
                <c:pt idx="3">
                  <c:v>30.855</c:v>
                </c:pt>
                <c:pt idx="4">
                  <c:v>31.131</c:v>
                </c:pt>
                <c:pt idx="5">
                  <c:v>31.443999999999999</c:v>
                </c:pt>
                <c:pt idx="6">
                  <c:v>31.713000000000001</c:v>
                </c:pt>
                <c:pt idx="7">
                  <c:v>31.954000000000001</c:v>
                </c:pt>
                <c:pt idx="8">
                  <c:v>32.200000000000003</c:v>
                </c:pt>
                <c:pt idx="9">
                  <c:v>32.232999999999997</c:v>
                </c:pt>
                <c:pt idx="10">
                  <c:v>32.215000000000003</c:v>
                </c:pt>
                <c:pt idx="11">
                  <c:v>31.931999999999999</c:v>
                </c:pt>
                <c:pt idx="12">
                  <c:v>31.79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Sayfa4!$N$9</c:f>
              <c:strCache>
                <c:ptCount val="1"/>
                <c:pt idx="0">
                  <c:v>İstihdam</c:v>
                </c:pt>
              </c:strCache>
            </c:strRef>
          </c:tx>
          <c:spPr>
            <a:ln w="5080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Sayfa4!$L$10:$L$22</c:f>
              <c:numCache>
                <c:formatCode>mmm\-yy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Sayfa4!$N$10:$N$22</c:f>
              <c:numCache>
                <c:formatCode>0.0</c:formatCode>
                <c:ptCount val="13"/>
                <c:pt idx="0">
                  <c:v>27.067</c:v>
                </c:pt>
                <c:pt idx="1">
                  <c:v>26.669</c:v>
                </c:pt>
                <c:pt idx="2">
                  <c:v>26.672000000000001</c:v>
                </c:pt>
                <c:pt idx="3">
                  <c:v>26.956</c:v>
                </c:pt>
                <c:pt idx="4">
                  <c:v>27.489000000000001</c:v>
                </c:pt>
                <c:pt idx="5">
                  <c:v>28.157</c:v>
                </c:pt>
                <c:pt idx="6">
                  <c:v>28.488</c:v>
                </c:pt>
                <c:pt idx="7">
                  <c:v>28.702999999999999</c:v>
                </c:pt>
                <c:pt idx="8">
                  <c:v>28.757999999999999</c:v>
                </c:pt>
                <c:pt idx="9">
                  <c:v>28.827999999999999</c:v>
                </c:pt>
                <c:pt idx="10">
                  <c:v>28.797000000000001</c:v>
                </c:pt>
                <c:pt idx="11">
                  <c:v>28.645</c:v>
                </c:pt>
                <c:pt idx="12">
                  <c:v>28.515000000000001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70837504"/>
        <c:axId val="170839040"/>
      </c:lineChart>
      <c:dateAx>
        <c:axId val="1708375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170839040"/>
        <c:crosses val="autoZero"/>
        <c:auto val="1"/>
        <c:lblOffset val="100"/>
        <c:baseTimeUnit val="months"/>
      </c:dateAx>
      <c:valAx>
        <c:axId val="170839040"/>
        <c:scaling>
          <c:orientation val="minMax"/>
          <c:max val="33"/>
          <c:min val="26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Kişi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0837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60.222999999999999</c:v>
                </c:pt>
                <c:pt idx="1">
                  <c:v>31.79</c:v>
                </c:pt>
                <c:pt idx="2">
                  <c:v>5.2969999999999997</c:v>
                </c:pt>
                <c:pt idx="3">
                  <c:v>23.218</c:v>
                </c:pt>
                <c:pt idx="4">
                  <c:v>3.2749999999999999</c:v>
                </c:pt>
                <c:pt idx="5">
                  <c:v>28.433</c:v>
                </c:pt>
              </c:numCache>
            </c:numRef>
          </c:val>
        </c:ser>
        <c:ser>
          <c:idx val="1"/>
          <c:order val="1"/>
          <c:tx>
            <c:strRef>
              <c:f>Sayfa2!$B$14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Sayfa2!$C$14:$H$14</c:f>
              <c:numCache>
                <c:formatCode>0.0</c:formatCode>
                <c:ptCount val="6"/>
                <c:pt idx="0">
                  <c:v>29.824000000000002</c:v>
                </c:pt>
                <c:pt idx="1">
                  <c:v>21.503</c:v>
                </c:pt>
                <c:pt idx="2">
                  <c:v>2.915</c:v>
                </c:pt>
                <c:pt idx="3">
                  <c:v>16.696999999999999</c:v>
                </c:pt>
                <c:pt idx="4">
                  <c:v>1.8919999999999999</c:v>
                </c:pt>
                <c:pt idx="5">
                  <c:v>8.3209999999999997</c:v>
                </c:pt>
              </c:numCache>
            </c:numRef>
          </c:val>
        </c:ser>
        <c:ser>
          <c:idx val="2"/>
          <c:order val="2"/>
          <c:tx>
            <c:strRef>
              <c:f>Sayfa2!$B$15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Sayfa2!$C$15:$H$15</c:f>
              <c:numCache>
                <c:formatCode>0.0</c:formatCode>
                <c:ptCount val="6"/>
                <c:pt idx="0">
                  <c:v>30.399000000000001</c:v>
                </c:pt>
                <c:pt idx="1">
                  <c:v>10.287000000000001</c:v>
                </c:pt>
                <c:pt idx="2">
                  <c:v>2.3820000000000001</c:v>
                </c:pt>
                <c:pt idx="3">
                  <c:v>6.5220000000000002</c:v>
                </c:pt>
                <c:pt idx="4">
                  <c:v>1.383</c:v>
                </c:pt>
                <c:pt idx="5">
                  <c:v>20.111999999999998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1002496"/>
        <c:axId val="171028864"/>
      </c:barChart>
      <c:catAx>
        <c:axId val="171002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028864"/>
        <c:crosses val="autoZero"/>
        <c:auto val="1"/>
        <c:lblAlgn val="ctr"/>
        <c:lblOffset val="100"/>
        <c:noMultiLvlLbl val="0"/>
      </c:catAx>
      <c:valAx>
        <c:axId val="17102886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71002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Sayfa3!$C$7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Sayfa3!$D$7:$G$7</c:f>
              <c:numCache>
                <c:formatCode>General</c:formatCode>
                <c:ptCount val="4"/>
                <c:pt idx="0">
                  <c:v>52.8</c:v>
                </c:pt>
                <c:pt idx="1">
                  <c:v>47.3</c:v>
                </c:pt>
                <c:pt idx="2">
                  <c:v>10.3</c:v>
                </c:pt>
                <c:pt idx="3">
                  <c:v>12.2</c:v>
                </c:pt>
              </c:numCache>
            </c:numRef>
          </c:val>
        </c:ser>
        <c:ser>
          <c:idx val="1"/>
          <c:order val="1"/>
          <c:tx>
            <c:strRef>
              <c:f>Sayfa3!$C$8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Sayfa3!$D$8:$G$8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65.8</c:v>
                </c:pt>
                <c:pt idx="2">
                  <c:v>8.8000000000000007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Sayfa3!$C$9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Sayfa3!$D$9:$G$9</c:f>
              <c:numCache>
                <c:formatCode>General</c:formatCode>
                <c:ptCount val="4"/>
                <c:pt idx="0">
                  <c:v>33.799999999999997</c:v>
                </c:pt>
                <c:pt idx="1">
                  <c:v>29.3</c:v>
                </c:pt>
                <c:pt idx="2">
                  <c:v>13.4</c:v>
                </c:pt>
                <c:pt idx="3">
                  <c:v>17.399999999999999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286080"/>
        <c:axId val="171037440"/>
      </c:barChart>
      <c:catAx>
        <c:axId val="170286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037440"/>
        <c:crosses val="autoZero"/>
        <c:auto val="1"/>
        <c:lblAlgn val="ctr"/>
        <c:lblOffset val="100"/>
        <c:noMultiLvlLbl val="0"/>
      </c:catAx>
      <c:valAx>
        <c:axId val="171037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0286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6B19-A4F5-4054-956B-43F19817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Taylan</cp:lastModifiedBy>
  <cp:revision>18</cp:revision>
  <cp:lastPrinted>2015-01-15T08:00:00Z</cp:lastPrinted>
  <dcterms:created xsi:type="dcterms:W3CDTF">2017-12-18T10:53:00Z</dcterms:created>
  <dcterms:modified xsi:type="dcterms:W3CDTF">2018-02-16T15:14:00Z</dcterms:modified>
</cp:coreProperties>
</file>